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851"/>
        <w:gridCol w:w="285"/>
        <w:gridCol w:w="1277"/>
        <w:gridCol w:w="1002"/>
        <w:gridCol w:w="2839"/>
      </w:tblGrid>
      <w:tr w:rsidR="002018F9">
        <w:trPr>
          <w:trHeight w:hRule="exact" w:val="2384"/>
        </w:trPr>
        <w:tc>
          <w:tcPr>
            <w:tcW w:w="426" w:type="dxa"/>
          </w:tcPr>
          <w:p w:rsidR="002018F9" w:rsidRDefault="002018F9"/>
        </w:tc>
        <w:tc>
          <w:tcPr>
            <w:tcW w:w="710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851" w:type="dxa"/>
          </w:tcPr>
          <w:p w:rsidR="002018F9" w:rsidRDefault="002018F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2018F9" w:rsidRPr="00206B8D" w:rsidRDefault="002018F9">
            <w:pPr>
              <w:spacing w:after="0" w:line="240" w:lineRule="auto"/>
              <w:jc w:val="both"/>
              <w:rPr>
                <w:lang w:val="ru-RU"/>
              </w:rPr>
            </w:pPr>
          </w:p>
          <w:p w:rsidR="002018F9" w:rsidRDefault="00206B8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018F9" w:rsidTr="00206B8D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018F9" w:rsidTr="00206B8D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018F9" w:rsidRPr="00206B8D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018F9" w:rsidRPr="00206B8D" w:rsidRDefault="0020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018F9" w:rsidRPr="00206B8D">
        <w:trPr>
          <w:trHeight w:hRule="exact" w:val="744"/>
        </w:trPr>
        <w:tc>
          <w:tcPr>
            <w:tcW w:w="426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>
        <w:trPr>
          <w:trHeight w:hRule="exact" w:val="277"/>
        </w:trPr>
        <w:tc>
          <w:tcPr>
            <w:tcW w:w="426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018F9">
        <w:trPr>
          <w:trHeight w:hRule="exact" w:val="277"/>
        </w:trPr>
        <w:tc>
          <w:tcPr>
            <w:tcW w:w="426" w:type="dxa"/>
          </w:tcPr>
          <w:p w:rsidR="002018F9" w:rsidRDefault="002018F9"/>
        </w:tc>
        <w:tc>
          <w:tcPr>
            <w:tcW w:w="710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851" w:type="dxa"/>
          </w:tcPr>
          <w:p w:rsidR="002018F9" w:rsidRDefault="002018F9"/>
        </w:tc>
        <w:tc>
          <w:tcPr>
            <w:tcW w:w="285" w:type="dxa"/>
          </w:tcPr>
          <w:p w:rsidR="002018F9" w:rsidRDefault="002018F9"/>
        </w:tc>
        <w:tc>
          <w:tcPr>
            <w:tcW w:w="1277" w:type="dxa"/>
          </w:tcPr>
          <w:p w:rsidR="002018F9" w:rsidRDefault="002018F9"/>
        </w:tc>
        <w:tc>
          <w:tcPr>
            <w:tcW w:w="993" w:type="dxa"/>
          </w:tcPr>
          <w:p w:rsidR="002018F9" w:rsidRDefault="002018F9"/>
        </w:tc>
        <w:tc>
          <w:tcPr>
            <w:tcW w:w="2836" w:type="dxa"/>
          </w:tcPr>
          <w:p w:rsidR="002018F9" w:rsidRDefault="002018F9"/>
        </w:tc>
      </w:tr>
      <w:tr w:rsidR="002018F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018F9">
        <w:trPr>
          <w:trHeight w:hRule="exact" w:val="1496"/>
        </w:trPr>
        <w:tc>
          <w:tcPr>
            <w:tcW w:w="426" w:type="dxa"/>
          </w:tcPr>
          <w:p w:rsidR="002018F9" w:rsidRDefault="002018F9"/>
        </w:tc>
        <w:tc>
          <w:tcPr>
            <w:tcW w:w="710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Социально-психологические технологии групповой работы в образовании</w:t>
            </w:r>
          </w:p>
          <w:p w:rsidR="002018F9" w:rsidRDefault="00206B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К.М.03.ДВ.01.01</w:t>
            </w:r>
          </w:p>
        </w:tc>
        <w:tc>
          <w:tcPr>
            <w:tcW w:w="2836" w:type="dxa"/>
          </w:tcPr>
          <w:p w:rsidR="002018F9" w:rsidRDefault="002018F9"/>
        </w:tc>
      </w:tr>
      <w:tr w:rsidR="002018F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2018F9" w:rsidRPr="00206B8D">
        <w:trPr>
          <w:trHeight w:hRule="exact" w:val="1396"/>
        </w:trPr>
        <w:tc>
          <w:tcPr>
            <w:tcW w:w="426" w:type="dxa"/>
          </w:tcPr>
          <w:p w:rsidR="002018F9" w:rsidRDefault="002018F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018F9" w:rsidRPr="00206B8D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2018F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2018F9" w:rsidRDefault="002018F9"/>
        </w:tc>
        <w:tc>
          <w:tcPr>
            <w:tcW w:w="285" w:type="dxa"/>
          </w:tcPr>
          <w:p w:rsidR="002018F9" w:rsidRDefault="002018F9"/>
        </w:tc>
        <w:tc>
          <w:tcPr>
            <w:tcW w:w="1277" w:type="dxa"/>
          </w:tcPr>
          <w:p w:rsidR="002018F9" w:rsidRDefault="002018F9"/>
        </w:tc>
        <w:tc>
          <w:tcPr>
            <w:tcW w:w="993" w:type="dxa"/>
          </w:tcPr>
          <w:p w:rsidR="002018F9" w:rsidRDefault="002018F9"/>
        </w:tc>
        <w:tc>
          <w:tcPr>
            <w:tcW w:w="2836" w:type="dxa"/>
          </w:tcPr>
          <w:p w:rsidR="002018F9" w:rsidRDefault="002018F9"/>
        </w:tc>
      </w:tr>
      <w:tr w:rsidR="002018F9">
        <w:trPr>
          <w:trHeight w:hRule="exact" w:val="155"/>
        </w:trPr>
        <w:tc>
          <w:tcPr>
            <w:tcW w:w="426" w:type="dxa"/>
          </w:tcPr>
          <w:p w:rsidR="002018F9" w:rsidRDefault="002018F9"/>
        </w:tc>
        <w:tc>
          <w:tcPr>
            <w:tcW w:w="710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851" w:type="dxa"/>
          </w:tcPr>
          <w:p w:rsidR="002018F9" w:rsidRDefault="002018F9"/>
        </w:tc>
        <w:tc>
          <w:tcPr>
            <w:tcW w:w="285" w:type="dxa"/>
          </w:tcPr>
          <w:p w:rsidR="002018F9" w:rsidRDefault="002018F9"/>
        </w:tc>
        <w:tc>
          <w:tcPr>
            <w:tcW w:w="1277" w:type="dxa"/>
          </w:tcPr>
          <w:p w:rsidR="002018F9" w:rsidRDefault="002018F9"/>
        </w:tc>
        <w:tc>
          <w:tcPr>
            <w:tcW w:w="993" w:type="dxa"/>
          </w:tcPr>
          <w:p w:rsidR="002018F9" w:rsidRDefault="002018F9"/>
        </w:tc>
        <w:tc>
          <w:tcPr>
            <w:tcW w:w="2836" w:type="dxa"/>
          </w:tcPr>
          <w:p w:rsidR="002018F9" w:rsidRDefault="002018F9"/>
        </w:tc>
      </w:tr>
      <w:tr w:rsidR="002018F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018F9" w:rsidRPr="00206B8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018F9" w:rsidRPr="00206B8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2018F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2018F9">
        <w:trPr>
          <w:trHeight w:hRule="exact" w:val="2126"/>
        </w:trPr>
        <w:tc>
          <w:tcPr>
            <w:tcW w:w="426" w:type="dxa"/>
          </w:tcPr>
          <w:p w:rsidR="002018F9" w:rsidRDefault="002018F9"/>
        </w:tc>
        <w:tc>
          <w:tcPr>
            <w:tcW w:w="710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1419" w:type="dxa"/>
          </w:tcPr>
          <w:p w:rsidR="002018F9" w:rsidRDefault="002018F9"/>
        </w:tc>
        <w:tc>
          <w:tcPr>
            <w:tcW w:w="851" w:type="dxa"/>
          </w:tcPr>
          <w:p w:rsidR="002018F9" w:rsidRDefault="002018F9"/>
        </w:tc>
        <w:tc>
          <w:tcPr>
            <w:tcW w:w="285" w:type="dxa"/>
          </w:tcPr>
          <w:p w:rsidR="002018F9" w:rsidRDefault="002018F9"/>
        </w:tc>
        <w:tc>
          <w:tcPr>
            <w:tcW w:w="1277" w:type="dxa"/>
          </w:tcPr>
          <w:p w:rsidR="002018F9" w:rsidRDefault="002018F9"/>
        </w:tc>
        <w:tc>
          <w:tcPr>
            <w:tcW w:w="993" w:type="dxa"/>
          </w:tcPr>
          <w:p w:rsidR="002018F9" w:rsidRDefault="002018F9"/>
        </w:tc>
        <w:tc>
          <w:tcPr>
            <w:tcW w:w="2836" w:type="dxa"/>
          </w:tcPr>
          <w:p w:rsidR="002018F9" w:rsidRDefault="002018F9"/>
        </w:tc>
      </w:tr>
      <w:tr w:rsidR="002018F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018F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2018F9" w:rsidRPr="00206B8D" w:rsidRDefault="0020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2018F9" w:rsidRPr="00206B8D" w:rsidRDefault="0020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018F9" w:rsidRDefault="00206B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018F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018F9" w:rsidRPr="00206B8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018F9">
        <w:trPr>
          <w:trHeight w:hRule="exact" w:val="555"/>
        </w:trPr>
        <w:tc>
          <w:tcPr>
            <w:tcW w:w="9640" w:type="dxa"/>
          </w:tcPr>
          <w:p w:rsidR="002018F9" w:rsidRDefault="002018F9"/>
        </w:tc>
      </w:tr>
      <w:tr w:rsidR="002018F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018F9" w:rsidRDefault="00206B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018F9" w:rsidRPr="00206B8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очная на 2022/2023 учебный год, утвержденным приказом ректора от 28.03.2022 №28;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«Социально- психологические технологии групповой работы в образовании» в течение 2022/2023 учебного года: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2018F9" w:rsidRPr="00206B8D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К.М.03.ДВ.01.01 «Социально-психологические технологии групповой работы в образовании».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018F9" w:rsidRPr="00206B8D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«Социально-психологические технологии групповой работы в образовании»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содействовать,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2018F9" w:rsidRPr="00206B8D">
        <w:trPr>
          <w:trHeight w:hRule="exact" w:val="277"/>
        </w:trPr>
        <w:tc>
          <w:tcPr>
            <w:tcW w:w="964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консультировать субъектов образовательной среды и других видов социальной практики по психологическим проблемам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2018F9" w:rsidRPr="00206B8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технологии консультирования, адекватные ситуации, возрастным нормам,  этапу профессиональногои личностного становления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инструментарием консультирования субъектов образовательной среды и других видов социальной практики по психологическим проблемам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оценивать и обеспечивать эффективность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современных психолого- педагогических технологий сопровождения, основанных на знании законов развития личности и поведения в реальной и виртуальной среде</w:t>
            </w:r>
          </w:p>
        </w:tc>
      </w:tr>
      <w:tr w:rsidR="002018F9" w:rsidRPr="00206B8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 и оказания психолого-педагогической помощи обучающимся</w:t>
            </w:r>
          </w:p>
        </w:tc>
      </w:tr>
      <w:tr w:rsidR="002018F9" w:rsidRPr="00206B8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приемами организация, прогнозирование и проведение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 представлением результатов исследовательских работ, выступление с сообщениями и докладами по тематике проводимых исследований</w:t>
            </w:r>
          </w:p>
        </w:tc>
      </w:tr>
      <w:tr w:rsidR="002018F9" w:rsidRPr="00206B8D">
        <w:trPr>
          <w:trHeight w:hRule="exact" w:val="277"/>
        </w:trPr>
        <w:tc>
          <w:tcPr>
            <w:tcW w:w="964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использовать инновационные обучающие и развивающие технологии с учетом задач каждого возрастного этапа, применять активные методы обучения в психолого -педагогической деятельности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18F9" w:rsidRPr="00206B8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основы создания инновационных обучающих и развивающих технологии с целью защиты личности обучающихся и педагогов от негативных внешних и внутренних воздействий, противодействия деструктивному влиянию в образовательной и виртуальнойсреде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активными методами обучения при разработке программ по передачи психологического знания в системах среднего общего образования, профессионального обучения, профессионального образования, дополнительного образования</w:t>
            </w:r>
          </w:p>
        </w:tc>
      </w:tr>
      <w:tr w:rsidR="002018F9" w:rsidRPr="00206B8D">
        <w:trPr>
          <w:trHeight w:hRule="exact" w:val="277"/>
        </w:trPr>
        <w:tc>
          <w:tcPr>
            <w:tcW w:w="964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коммуникативно приемлемые стили делового общения,вербальные и невербальные средства взаимодействия с партн?рами на государственном и иностранном языке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уметь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</w:t>
            </w:r>
          </w:p>
        </w:tc>
      </w:tr>
      <w:tr w:rsidR="002018F9" w:rsidRPr="00206B8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выполнять перевод академических и профессиональных текстов с иностранного (- ых) на государственный язык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владеть навыком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018F9" w:rsidRPr="00206B8D">
        <w:trPr>
          <w:trHeight w:hRule="exact" w:val="85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УК-4.5 владеть навыком использовать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</w:t>
            </w:r>
          </w:p>
        </w:tc>
      </w:tr>
      <w:tr w:rsidR="002018F9" w:rsidRPr="00206B8D">
        <w:trPr>
          <w:trHeight w:hRule="exact" w:val="416"/>
        </w:trPr>
        <w:tc>
          <w:tcPr>
            <w:tcW w:w="397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018F9" w:rsidRPr="00206B8D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К.М.03.ДВ.01.01 «Социально-психологические технологии групповой работы в образовании» относится к обязательной части, является дисциплиной Блока Б1. «Дисциплины (модули)». Модуль "Психологическая безопасность в образовании и социальном взаимодействии" основной профессиональной образовательной программы высшего образования - магистратура по направлению подготовки 44.04.02 Психолого- педагогическое образование.</w:t>
            </w:r>
          </w:p>
        </w:tc>
      </w:tr>
      <w:tr w:rsidR="002018F9" w:rsidRPr="00206B8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018F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18F9"/>
        </w:tc>
      </w:tr>
      <w:tr w:rsidR="002018F9" w:rsidRPr="00206B8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6B8D">
            <w:pPr>
              <w:spacing w:after="0" w:line="240" w:lineRule="auto"/>
              <w:jc w:val="center"/>
              <w:rPr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Государственный экзамен "Профессиональный экзамен по образовательной программе",</w:t>
            </w:r>
          </w:p>
          <w:p w:rsidR="002018F9" w:rsidRPr="00206B8D" w:rsidRDefault="00206B8D">
            <w:pPr>
              <w:spacing w:after="0" w:line="240" w:lineRule="auto"/>
              <w:jc w:val="center"/>
              <w:rPr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 ПК-3, ПК-6, ПК-4, УК-4</w:t>
            </w:r>
          </w:p>
        </w:tc>
      </w:tr>
      <w:tr w:rsidR="002018F9" w:rsidRPr="00206B8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018F9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018F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2018F9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018F9" w:rsidRPr="00206B8D" w:rsidRDefault="0020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018F9">
        <w:trPr>
          <w:trHeight w:hRule="exact" w:val="416"/>
        </w:trPr>
        <w:tc>
          <w:tcPr>
            <w:tcW w:w="3970" w:type="dxa"/>
          </w:tcPr>
          <w:p w:rsidR="002018F9" w:rsidRDefault="002018F9"/>
        </w:tc>
        <w:tc>
          <w:tcPr>
            <w:tcW w:w="1702" w:type="dxa"/>
          </w:tcPr>
          <w:p w:rsidR="002018F9" w:rsidRDefault="002018F9"/>
        </w:tc>
        <w:tc>
          <w:tcPr>
            <w:tcW w:w="1702" w:type="dxa"/>
          </w:tcPr>
          <w:p w:rsidR="002018F9" w:rsidRDefault="002018F9"/>
        </w:tc>
        <w:tc>
          <w:tcPr>
            <w:tcW w:w="426" w:type="dxa"/>
          </w:tcPr>
          <w:p w:rsidR="002018F9" w:rsidRDefault="002018F9"/>
        </w:tc>
        <w:tc>
          <w:tcPr>
            <w:tcW w:w="852" w:type="dxa"/>
          </w:tcPr>
          <w:p w:rsidR="002018F9" w:rsidRDefault="002018F9"/>
        </w:tc>
        <w:tc>
          <w:tcPr>
            <w:tcW w:w="993" w:type="dxa"/>
          </w:tcPr>
          <w:p w:rsidR="002018F9" w:rsidRDefault="002018F9"/>
        </w:tc>
      </w:tr>
      <w:tr w:rsidR="002018F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18F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018F9" w:rsidRDefault="002018F9"/>
        </w:tc>
      </w:tr>
      <w:tr w:rsidR="002018F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в системе методов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Историко-методологические предпосылки тренинговой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18F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 создания тренинга. Технологии создания тренинга. Этапы подготовки и проведения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групповой динамики в тренинге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018F9" w:rsidRDefault="00206B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тренинговой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продвижения тренинговых программ на рынке образовательных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 создания тренинга. Технологии создания тренинга. Этапы подготовки и проведения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тренинговой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психологиченского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в системе методов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Историко-методологические предпосылки тренинговой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групповой динамитки в тренинге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продвижения тренинговых программ на рынке образовательных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018F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F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018F9" w:rsidRPr="00206B8D">
        <w:trPr>
          <w:trHeight w:hRule="exact" w:val="948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8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018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018F9" w:rsidRPr="00206B8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в системе методов психологии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Историко-методологические предпосылки тренинговой работы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18F9" w:rsidRPr="00206B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Мотивация создания тренинга. Технологии создания тренинга. Этапы подготовки и проведения тренинга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групповой динамики в тренинге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18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тренинговой работы</w:t>
            </w:r>
          </w:p>
        </w:tc>
      </w:tr>
      <w:tr w:rsidR="002018F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18F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психологического тренинга</w:t>
            </w:r>
          </w:p>
        </w:tc>
      </w:tr>
      <w:tr w:rsidR="002018F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продвижения тренинговых программ на рынке образовательных услуг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18F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018F9" w:rsidRPr="00206B8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Мотивация создания тренинга. Технологии создания тренинга. Этапы подготовки и проведения тренинга</w:t>
            </w:r>
          </w:p>
        </w:tc>
      </w:tr>
      <w:tr w:rsidR="002018F9" w:rsidRPr="00206B8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018F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тренинговой работы</w:t>
            </w:r>
          </w:p>
        </w:tc>
      </w:tr>
      <w:tr w:rsidR="002018F9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18F9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психологиченского тренинга</w:t>
            </w:r>
          </w:p>
        </w:tc>
      </w:tr>
      <w:tr w:rsidR="002018F9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18F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018F9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018F9" w:rsidRPr="00206B8D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в системе методов психологии</w:t>
            </w:r>
          </w:p>
        </w:tc>
      </w:tr>
      <w:tr w:rsidR="002018F9" w:rsidRPr="00206B8D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Историко-методологические предпосылки тренинговой работы</w:t>
            </w:r>
          </w:p>
        </w:tc>
      </w:tr>
      <w:tr w:rsidR="002018F9" w:rsidRPr="00206B8D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групповой динамитки в тренинге</w:t>
            </w:r>
          </w:p>
        </w:tc>
      </w:tr>
      <w:tr w:rsidR="002018F9" w:rsidRPr="00206B8D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продвижения тренинговых программ на рынке образовательных услуг</w:t>
            </w:r>
          </w:p>
        </w:tc>
      </w:tr>
      <w:tr w:rsidR="002018F9" w:rsidRPr="00206B8D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018F9" w:rsidRPr="00206B8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«Социально- психологические технологии групповой работы в образовании» / Костюк Ирина Александровна. – Омск: Изд-во Омской гуманитарной академии, 2022.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018F9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018F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Корпоративный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коучинг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Кларин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978-5-534-02811-9.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4D5D26">
                <w:rPr>
                  <w:rStyle w:val="a3"/>
                </w:rPr>
                <w:t>https://urait.ru/bcode/437296</w:t>
              </w:r>
            </w:hyperlink>
            <w:r>
              <w:t xml:space="preserve"> </w:t>
            </w:r>
          </w:p>
        </w:tc>
      </w:tr>
      <w:tr w:rsidR="002018F9" w:rsidRPr="00206B8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Старшенбаум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hyperlink r:id="rId5" w:history="1">
              <w:r w:rsidR="004D5D26">
                <w:rPr>
                  <w:rStyle w:val="a3"/>
                  <w:lang w:val="ru-RU"/>
                </w:rPr>
                <w:t>http://www.iprbookshop.ru/31712.html</w:t>
              </w:r>
            </w:hyperlink>
            <w:r w:rsidRPr="00206B8D">
              <w:rPr>
                <w:lang w:val="ru-RU"/>
              </w:rPr>
              <w:t xml:space="preserve"> </w:t>
            </w:r>
          </w:p>
        </w:tc>
      </w:tr>
      <w:tr w:rsidR="002018F9">
        <w:trPr>
          <w:trHeight w:hRule="exact" w:val="304"/>
        </w:trPr>
        <w:tc>
          <w:tcPr>
            <w:tcW w:w="285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018F9" w:rsidRPr="00206B8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Марасанов,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Когито-Центр,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5-89353-042-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hyperlink r:id="rId6" w:history="1">
              <w:r w:rsidR="004D5D26">
                <w:rPr>
                  <w:rStyle w:val="a3"/>
                  <w:lang w:val="ru-RU"/>
                </w:rPr>
                <w:t>http://www.iprbookshop.ru/88390.html</w:t>
              </w:r>
            </w:hyperlink>
            <w:r w:rsidRPr="00206B8D">
              <w:rPr>
                <w:lang w:val="ru-RU"/>
              </w:rPr>
              <w:t xml:space="preserve"> </w:t>
            </w:r>
          </w:p>
        </w:tc>
      </w:tr>
      <w:tr w:rsidR="002018F9" w:rsidRPr="00206B8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hyperlink r:id="rId7" w:history="1">
              <w:r w:rsidR="004D5D26">
                <w:rPr>
                  <w:rStyle w:val="a3"/>
                  <w:lang w:val="ru-RU"/>
                </w:rPr>
                <w:t>http://www.iprbookshop.ru/19278.html</w:t>
              </w:r>
            </w:hyperlink>
            <w:r w:rsidRPr="00206B8D">
              <w:rPr>
                <w:lang w:val="ru-RU"/>
              </w:rPr>
              <w:t xml:space="preserve"> </w:t>
            </w:r>
          </w:p>
        </w:tc>
      </w:tr>
      <w:tr w:rsidR="002018F9" w:rsidRPr="00206B8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06B8D">
              <w:rPr>
                <w:lang w:val="ru-RU"/>
              </w:rPr>
              <w:t xml:space="preserve"> 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6B8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6B8D">
              <w:rPr>
                <w:lang w:val="ru-RU"/>
              </w:rPr>
              <w:t xml:space="preserve"> </w:t>
            </w:r>
            <w:hyperlink r:id="rId8" w:history="1">
              <w:r w:rsidR="004D5D26">
                <w:rPr>
                  <w:rStyle w:val="a3"/>
                  <w:lang w:val="ru-RU"/>
                </w:rPr>
                <w:t>http://www.iprbookshop.ru/19277.html</w:t>
              </w:r>
            </w:hyperlink>
            <w:r w:rsidRPr="00206B8D">
              <w:rPr>
                <w:lang w:val="ru-RU"/>
              </w:rPr>
              <w:t xml:space="preserve"> 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018F9" w:rsidRPr="00206B8D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5535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018F9" w:rsidRPr="00206B8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018F9" w:rsidRPr="00206B8D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018F9" w:rsidRPr="00206B8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018F9" w:rsidRPr="00206B8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018F9" w:rsidRDefault="00206B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018F9" w:rsidRDefault="00206B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018F9" w:rsidRPr="00206B8D" w:rsidRDefault="002018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018F9" w:rsidRPr="00206B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018F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018F9" w:rsidRPr="00206B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4D5D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018F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Default="00206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2018F9" w:rsidRDefault="00206B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018F9" w:rsidRPr="00206B8D">
        <w:trPr>
          <w:trHeight w:hRule="exact" w:val="277"/>
        </w:trPr>
        <w:tc>
          <w:tcPr>
            <w:tcW w:w="9640" w:type="dxa"/>
          </w:tcPr>
          <w:p w:rsidR="002018F9" w:rsidRPr="00206B8D" w:rsidRDefault="002018F9">
            <w:pPr>
              <w:rPr>
                <w:lang w:val="ru-RU"/>
              </w:rPr>
            </w:pPr>
          </w:p>
        </w:tc>
      </w:tr>
      <w:tr w:rsidR="002018F9" w:rsidRPr="00206B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018F9" w:rsidRPr="00206B8D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2018F9" w:rsidRPr="00206B8D" w:rsidRDefault="00206B8D">
      <w:pPr>
        <w:rPr>
          <w:sz w:val="0"/>
          <w:szCs w:val="0"/>
          <w:lang w:val="ru-RU"/>
        </w:rPr>
      </w:pPr>
      <w:r w:rsidRPr="00206B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018F9" w:rsidRPr="00206B8D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5535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018F9" w:rsidRPr="00206B8D" w:rsidRDefault="00206B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06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018F9" w:rsidRPr="00206B8D" w:rsidRDefault="002018F9">
      <w:pPr>
        <w:rPr>
          <w:lang w:val="ru-RU"/>
        </w:rPr>
      </w:pPr>
    </w:p>
    <w:sectPr w:rsidR="002018F9" w:rsidRPr="00206B8D" w:rsidSect="002018F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18F9"/>
    <w:rsid w:val="00206B8D"/>
    <w:rsid w:val="004D5D26"/>
    <w:rsid w:val="0055352D"/>
    <w:rsid w:val="00D31453"/>
    <w:rsid w:val="00E209E2"/>
    <w:rsid w:val="00F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52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927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19278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8390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1712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729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5967</Words>
  <Characters>34016</Characters>
  <Application>Microsoft Office Word</Application>
  <DocSecurity>0</DocSecurity>
  <Lines>283</Lines>
  <Paragraphs>79</Paragraphs>
  <ScaleCrop>false</ScaleCrop>
  <Company/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2022-2023_ФГОС3++2022_Маг-ОФО-ППО(ПСиБЧ)(22)_plx_Социально-психологические технологии групповой работы в образовании</dc:title>
  <dc:creator>FastReport.NET</dc:creator>
  <cp:lastModifiedBy>Mark Bernstorf</cp:lastModifiedBy>
  <cp:revision>5</cp:revision>
  <dcterms:created xsi:type="dcterms:W3CDTF">2022-04-28T18:58:00Z</dcterms:created>
  <dcterms:modified xsi:type="dcterms:W3CDTF">2022-11-14T02:36:00Z</dcterms:modified>
</cp:coreProperties>
</file>